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Heading1"/>
      </w:pPr>
      <w:r>
        <w:t>Gastrointestinal Effects (Toxicology)</w:t>
      </w:r>
    </w:p>
    <w:p>
      <w:pPr/>
      <w:r/>
      <w:hyperlink r:id="rId9">
        <w:r>
          <w:rPr>
            <w:color w:val="000000" w:themeColor="hyperlink"/>
            <w:u w:val="single"/>
          </w:rPr>
          <w:t>View Online</w:t>
        </w:r>
      </w:hyperlink>
      <w:r/>
    </w:p>
    <w:tbl>
      <w:tblPr>
        <w:tblStyle w:val="TableGrid"/>
        <w:tblW w:type="auto" w:w="0"/>
        <w:tblLook w:firstColumn="1" w:firstRow="1" w:lastColumn="0" w:lastRow="0" w:noHBand="0" w:noVBand="1" w:val="04A0"/>
      </w:tblPr>
      <w:tblGrid>
        <w:gridCol w:w="1749"/>
        <w:gridCol w:w="1749"/>
        <w:gridCol w:w="1749"/>
        <w:gridCol w:w="1749"/>
        <w:gridCol w:w="1749"/>
        <w:gridCol w:w="1749"/>
        <w:gridCol w:w="1749"/>
      </w:tblGrid>
      <w:tr>
        <w:tc>
          <w:tcPr>
            <w:tcW w:type="dxa" w:w="14400"/>
          </w:tcPr>
          <w:p>
            <w:pPr/>
            <w:r>
              <w:t>Reference</w:t>
            </w:r>
          </w:p>
        </w:tc>
        <w:tc>
          <w:tcPr>
            <w:tcW w:type="dxa" w:w="14400"/>
          </w:tcPr>
          <w:p>
            <w:pPr/>
            <w:r>
              <w:t>Species</w:t>
            </w:r>
          </w:p>
        </w:tc>
        <w:tc>
          <w:tcPr>
            <w:tcW w:type="dxa" w:w="14400"/>
          </w:tcPr>
          <w:p>
            <w:pPr/>
            <w:r>
              <w:t>Timing Exposure</w:t>
            </w:r>
          </w:p>
        </w:tc>
        <w:tc>
          <w:tcPr>
            <w:tcW w:type="dxa" w:w="14400"/>
          </w:tcPr>
          <w:p>
            <w:pPr/>
            <w:r>
              <w:t>Exposure Details</w:t>
            </w:r>
          </w:p>
        </w:tc>
        <w:tc>
          <w:tcPr>
            <w:tcW w:type="dxa" w:w="14400"/>
          </w:tcPr>
          <w:p>
            <w:pPr/>
            <w:r>
              <w:t>Blood Lead Level</w:t>
            </w:r>
          </w:p>
        </w:tc>
        <w:tc>
          <w:tcPr>
            <w:tcW w:type="dxa" w:w="14400"/>
          </w:tcPr>
          <w:p>
            <w:pPr/>
            <w:r>
              <w:t>Endpoints</w:t>
            </w:r>
          </w:p>
        </w:tc>
        <w:tc>
          <w:tcPr>
            <w:tcW w:type="dxa" w:w="14400"/>
          </w:tcPr>
          <w:p>
            <w:pPr/>
            <w:r>
              <w:t>Health Outcome Category</w:t>
            </w:r>
          </w:p>
        </w:tc>
      </w:tr>
      <w:tr>
        <w:tc>
          <w:tcPr>
            <w:tcW w:type="dxa" w:w="14400"/>
          </w:tcPr>
          <w:p>
            <w:pPr/>
            <w:r/>
            <w:hyperlink r:id="rId10">
              <w:r>
                <w:rPr>
                  <w:color w:val="000000" w:themeColor="hyperlink"/>
                  <w:u w:val="single"/>
                </w:rPr>
                <w:t>Kosik-Bogacka, 2011</w:t>
              </w:r>
            </w:hyperlink>
            <w:r/>
          </w:p>
        </w:tc>
        <w:tc>
          <w:tcPr>
            <w:tcW w:type="dxa" w:w="14400"/>
          </w:tcPr>
          <w:p>
            <w:pPr/>
            <w:r>
              <w:t>Rat (Wistar), Control (distilled water), M, n = 90.1% Pb, M, n = 9</w:t>
            </w:r>
          </w:p>
        </w:tc>
        <w:tc>
          <w:tcPr>
            <w:tcW w:type="dxa" w:w="14400"/>
          </w:tcPr>
          <w:p>
            <w:pPr/>
            <w:r>
              <w:t>Day 270</w:t>
            </w:r>
          </w:p>
        </w:tc>
        <w:tc>
          <w:tcPr>
            <w:tcW w:type="dxa" w:w="14400"/>
          </w:tcPr>
          <w:p>
            <w:pPr/>
            <w:r>
              <w:t>Oral, drinking water</w:t>
            </w:r>
          </w:p>
        </w:tc>
        <w:tc>
          <w:tcPr>
            <w:tcW w:type="dxa" w:w="14400"/>
          </w:tcPr>
          <w:p>
            <w:pPr/>
            <w:r>
              <w:t>0.34±0.23 μg/dL for 0.0%, 7.21 ± 1.27 μg/dL for 0.1%</w:t>
            </w:r>
          </w:p>
        </w:tc>
        <w:tc>
          <w:tcPr>
            <w:tcW w:type="dxa" w:w="14400"/>
          </w:tcPr>
          <w:p>
            <w:pPr/>
            <w:r>
              <w:t>transepithelial electrical potential difference (PD), changes in the transepithelial electrical potential difference during mechanical stimulation (dPD), transepithelial electrical resistance (R)</w:t>
            </w:r>
          </w:p>
        </w:tc>
        <w:tc>
          <w:tcPr>
            <w:tcW w:type="dxa" w:w="14400"/>
          </w:tcPr>
          <w:p>
            <w:pPr/>
            <w:r>
              <w:t>Gastrointestinal Effects</w:t>
            </w:r>
          </w:p>
        </w:tc>
      </w:tr>
      <w:tr>
        <w:tc>
          <w:tcPr>
            <w:tcW w:type="dxa" w:w="14400"/>
          </w:tcPr>
          <w:p>
            <w:pPr/>
            <w:r/>
            <w:hyperlink r:id="rId11">
              <w:r>
                <w:rPr>
                  <w:color w:val="000000" w:themeColor="hyperlink"/>
                  <w:u w:val="single"/>
                </w:rPr>
                <w:t>Reddy, 2018</w:t>
              </w:r>
            </w:hyperlink>
            <w:r/>
          </w:p>
        </w:tc>
        <w:tc>
          <w:tcPr>
            <w:tcW w:type="dxa" w:w="14400"/>
          </w:tcPr>
          <w:p>
            <w:pPr/>
            <w:r>
              <w:t>Rat (Sprague Dawley), Control Diet (CD), M, n = 10Control Diet, F, n = 10Iron Deficient (ID), M, n = 10Iron Deficient, F, n = 10Control Diet + Pb, M, n = 10Control Diet + Pb, F, n = 10Iron Deficient + Pb, M, n = 10Iron Deficient, F, n = 10</w:t>
            </w:r>
          </w:p>
        </w:tc>
        <w:tc>
          <w:tcPr>
            <w:tcW w:type="dxa" w:w="14400"/>
          </w:tcPr>
          <w:p>
            <w:pPr/>
            <w:r>
              <w:t>Microbiome Counts at Week 0, 4, 8, 10, 12BLL at End of Week 8</w:t>
            </w:r>
          </w:p>
        </w:tc>
        <w:tc>
          <w:tcPr>
            <w:tcW w:type="dxa" w:w="14400"/>
          </w:tcPr>
          <w:p>
            <w:pPr/>
            <w:r>
              <w:t>Oral, gavage</w:t>
            </w:r>
          </w:p>
        </w:tc>
        <w:tc>
          <w:tcPr>
            <w:tcW w:type="dxa" w:w="14400"/>
          </w:tcPr>
          <w:p>
            <w:pPr/>
            <w:r>
              <w:t>2.3 ± 1.16 μg/dL - CD, M19.3±6.23 μg/dL – CD + Pb, M2.5 ± 0.89 μg/dL - ID, M47.5 ± 3.78 μg/dL – ID + Pb, M1.9 ± 0.81 μg/dL - CD, F13.5 ± 3.52 μg/dL – CD + Pb, F1.5 ± 0.31 μg/dL - ID, F29.80 ± 8.30 μg/dL – ID + Pb, F</w:t>
            </w:r>
          </w:p>
        </w:tc>
        <w:tc>
          <w:tcPr>
            <w:tcW w:type="dxa" w:w="14400"/>
          </w:tcPr>
          <w:p>
            <w:pPr/>
            <w:r>
              <w:t>Fecal Lactobacilli (Counts), Fecal E. Coli (Counts), Fecal Yeast (Counts)</w:t>
            </w:r>
          </w:p>
        </w:tc>
        <w:tc>
          <w:tcPr>
            <w:tcW w:type="dxa" w:w="14400"/>
          </w:tcPr>
          <w:p>
            <w:pPr/>
            <w:r>
              <w:t>Gastrointestinal Effects</w:t>
            </w:r>
          </w:p>
        </w:tc>
      </w:tr>
    </w:tbl>
    <w:sectPr w:rsidR="00FC693F" w:rsidRPr="0006063C" w:rsidSect="00034616">
      <w:pgSz w:w="15840" w:h="12240" w:orient="landscape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9" Type="http://schemas.openxmlformats.org/officeDocument/2006/relationships/hyperlink" Target="https://hawc.epa.gov/summary/assessment/100500318/tables/Gastrointestinal-Effects-Toxicology/" TargetMode="External"/><Relationship Id="rId10" Type="http://schemas.openxmlformats.org/officeDocument/2006/relationships/hyperlink" Target="https://hero.epa.gov/hero/index.cfm/reference/details/reference_id/6801798" TargetMode="External"/><Relationship Id="rId11" Type="http://schemas.openxmlformats.org/officeDocument/2006/relationships/hyperlink" Target="https://hero.epa.gov/hero/index.cfm/reference/details/reference_id/713464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