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Ocular Effects (Toxicology)</w:t>
      </w:r>
    </w:p>
    <w:p>
      <w:pPr/>
      <w:r/>
      <w:hyperlink r:id="rId9">
        <w:r>
          <w:rPr>
            <w:color w:val="000000" w:themeColor="hyperlink"/>
            <w:u w:val="single"/>
          </w:rPr>
          <w:t>View Online</w:t>
        </w:r>
      </w:hyperlink>
      <w:r/>
    </w:p>
    <w:tbl>
      <w:tblPr>
        <w:tblStyle w:val="TableGrid"/>
        <w:tblW w:type="auto" w:w="0"/>
        <w:tblLook w:firstColumn="1" w:firstRow="1" w:lastColumn="0" w:lastRow="0" w:noHBand="0" w:noVBand="1" w:val="04A0"/>
      </w:tblPr>
      <w:tblGrid>
        <w:gridCol w:w="1749"/>
        <w:gridCol w:w="1749"/>
        <w:gridCol w:w="1749"/>
        <w:gridCol w:w="1749"/>
        <w:gridCol w:w="1749"/>
        <w:gridCol w:w="1749"/>
        <w:gridCol w:w="1749"/>
      </w:tblGrid>
      <w:tr>
        <w:tc>
          <w:tcPr>
            <w:tcW w:type="dxa" w:w="14400"/>
          </w:tcPr>
          <w:p>
            <w:pPr/>
            <w:r>
              <w:t>Reference</w:t>
            </w:r>
          </w:p>
        </w:tc>
        <w:tc>
          <w:tcPr>
            <w:tcW w:type="dxa" w:w="14400"/>
          </w:tcPr>
          <w:p>
            <w:pPr/>
            <w:r>
              <w:t>Species</w:t>
            </w:r>
          </w:p>
        </w:tc>
        <w:tc>
          <w:tcPr>
            <w:tcW w:type="dxa" w:w="14400"/>
          </w:tcPr>
          <w:p>
            <w:pPr/>
            <w:r>
              <w:t>Timing Exposure</w:t>
            </w:r>
          </w:p>
        </w:tc>
        <w:tc>
          <w:tcPr>
            <w:tcW w:type="dxa" w:w="14400"/>
          </w:tcPr>
          <w:p>
            <w:pPr/>
            <w:r>
              <w:t>Exposure Details</w:t>
            </w:r>
          </w:p>
        </w:tc>
        <w:tc>
          <w:tcPr>
            <w:tcW w:type="dxa" w:w="14400"/>
          </w:tcPr>
          <w:p>
            <w:pPr/>
            <w:r>
              <w:t>Blood Lead Level</w:t>
            </w:r>
          </w:p>
        </w:tc>
        <w:tc>
          <w:tcPr>
            <w:tcW w:type="dxa" w:w="14400"/>
          </w:tcPr>
          <w:p>
            <w:pPr/>
            <w:r>
              <w:t>Endpoints</w:t>
            </w:r>
          </w:p>
        </w:tc>
        <w:tc>
          <w:tcPr>
            <w:tcW w:type="dxa" w:w="14400"/>
          </w:tcPr>
          <w:p>
            <w:pPr/>
            <w:r>
              <w:t>Health Outcome Category</w:t>
            </w:r>
          </w:p>
        </w:tc>
      </w:tr>
      <w:tr>
        <w:tc>
          <w:tcPr>
            <w:tcW w:type="dxa" w:w="14400"/>
          </w:tcPr>
          <w:p>
            <w:pPr/>
            <w:r/>
            <w:hyperlink r:id="rId10">
              <w:r>
                <w:rPr>
                  <w:color w:val="000000" w:themeColor="hyperlink"/>
                  <w:u w:val="single"/>
                </w:rPr>
                <w:t>Shen, 2016</w:t>
              </w:r>
            </w:hyperlink>
            <w:r/>
          </w:p>
        </w:tc>
        <w:tc>
          <w:tcPr>
            <w:tcW w:type="dxa" w:w="14400"/>
          </w:tcPr>
          <w:p>
            <w:pPr/>
            <w:r>
              <w:t>Rat (Sprague Dawley), 0 ppm Pb, M, n = 12 (BLL), n = 6 (other endpoints)55 ppm Pb (0.01%), M, n = 12 (BLL), n = 6 (other endpoints)109 ppm Pb (0.02%), M, n = 12 (BLL), n = 6 (other endpoints)</w:t>
            </w:r>
          </w:p>
        </w:tc>
        <w:tc>
          <w:tcPr>
            <w:tcW w:type="dxa" w:w="14400"/>
          </w:tcPr>
          <w:p>
            <w:pPr/>
            <w:r>
              <w:t>BLL weeks 1, 2, 3, 4, 5, 6; Other Endpoints week 6</w:t>
            </w:r>
          </w:p>
        </w:tc>
        <w:tc>
          <w:tcPr>
            <w:tcW w:type="dxa" w:w="14400"/>
          </w:tcPr>
          <w:p>
            <w:pPr/>
            <w:r>
              <w:t>Oral, drinking water</w:t>
            </w:r>
          </w:p>
        </w:tc>
        <w:tc>
          <w:tcPr>
            <w:tcW w:type="dxa" w:w="14400"/>
          </w:tcPr>
          <w:p>
            <w:pPr/>
            <w:r>
              <w:t>1.11 ± 0.08 μg/dL for 0.00%12.58 ± 2.42 μg/dL for 0.01%19.00 ± 2.59 μg/dL for 0.02%</w:t>
            </w:r>
          </w:p>
        </w:tc>
        <w:tc>
          <w:tcPr>
            <w:tcW w:type="dxa" w:w="14400"/>
          </w:tcPr>
          <w:p>
            <w:pPr/>
            <w:r>
              <w:t>Retinal Thickness, Blood-Retina-Barrier Permeability, Occludin Protein Levels, Claudin 5 Protein Levels, Immunofluorescence Protein Levels of Occludin, Immunofluorescence Protein Levels of Claudin 5, Western Blot Protein Levels of Occludin, Western Blot Protein Levels of Claudin-5, Western Blot Protein Levels of pAkt (Ser473), Western Blot Protein Levels of pAkt (Thr308)</w:t>
            </w:r>
          </w:p>
        </w:tc>
        <w:tc>
          <w:tcPr>
            <w:tcW w:type="dxa" w:w="14400"/>
          </w:tcPr>
          <w:p>
            <w:pPr/>
            <w:r>
              <w:t>Ocular Effects</w:t>
            </w:r>
          </w:p>
        </w:tc>
      </w:tr>
      <w:tr>
        <w:tc>
          <w:tcPr>
            <w:tcW w:type="dxa" w:w="14400"/>
          </w:tcPr>
          <w:p>
            <w:pPr/>
            <w:r/>
            <w:hyperlink r:id="rId11">
              <w:r>
                <w:rPr>
                  <w:color w:val="000000" w:themeColor="hyperlink"/>
                  <w:u w:val="single"/>
                </w:rPr>
                <w:t>Perkins, 2012</w:t>
              </w:r>
            </w:hyperlink>
            <w:r/>
          </w:p>
        </w:tc>
        <w:tc>
          <w:tcPr>
            <w:tcW w:type="dxa" w:w="14400"/>
          </w:tcPr>
          <w:p>
            <w:pPr/>
            <w:r>
              <w:t>Mouse (C57BL.6), Bcl-xL Transgenic ( (C57BL.6), Background)Wild Type 0.0% Pb Acetate, M/F, n = 3 to 7, varying between groups and between assaysWild Type 0.015% Pb Acetate, M/F, n = 3 to 7, varying between groups and between assaysTransgenic 0.0% Pb Acetate, M/F, n = 3 to 7, varying between groups and between assays Transgenic 0.015% Pb Acetate, M/F, n = 3 to 7, varying between groups and between assays</w:t>
            </w:r>
          </w:p>
        </w:tc>
        <w:tc>
          <w:tcPr>
            <w:tcW w:type="dxa" w:w="14400"/>
          </w:tcPr>
          <w:p>
            <w:pPr/>
            <w:r>
              <w:t>BLL PND 21, PND 60Other Endpoints PND 60 to 70</w:t>
            </w:r>
          </w:p>
        </w:tc>
        <w:tc>
          <w:tcPr>
            <w:tcW w:type="dxa" w:w="14400"/>
          </w:tcPr>
          <w:p>
            <w:pPr/>
            <w:r>
              <w:t>Oral, drinking water</w:t>
            </w:r>
          </w:p>
        </w:tc>
        <w:tc>
          <w:tcPr>
            <w:tcW w:type="dxa" w:w="14400"/>
          </w:tcPr>
          <w:p>
            <w:pPr/>
            <w:r>
              <w:t>1.9 ± 1.0 μg/dl for 0.0%, 20.6 ± 4.7 μg/l for 0.015% Pb -– PND 21 3.6 ± 1.8 μg/dl for 0.0%, 5.6 ± 2.7 μg/l for 0.015% Pb -– PND 60</w:t>
            </w:r>
          </w:p>
        </w:tc>
        <w:tc>
          <w:tcPr>
            <w:tcW w:type="dxa" w:w="14400"/>
          </w:tcPr>
          <w:p>
            <w:pPr/>
            <w:r>
              <w:t xml:space="preserve">Conventional Transmission Electron Microscopy (TEM) of Cell and Organelle Structure, Three-Dimensional Electron Microscope Tomography of Cell and Organelle Structure, Mitochondrial Cristae Measurements in Rod Spherules, Mitochondrial Cristae Measurements in Cone Pedicles, Mitochondrial Crista Junction Diameter and Density in Rod Spherules, Mitochondrial Crista Junction Diameter and Density in Cone Pedicles, Photoreceptor and Synaptic Terminal Oxygen Consumption (Light-Adapted)  </w:t>
            </w:r>
          </w:p>
        </w:tc>
        <w:tc>
          <w:tcPr>
            <w:tcW w:type="dxa" w:w="14400"/>
          </w:tcPr>
          <w:p>
            <w:pPr/>
            <w:r>
              <w:t>Ocular Effects</w:t>
            </w:r>
          </w:p>
        </w:tc>
      </w:tr>
    </w:tbl>
    <w:sectPr w:rsidR="00FC693F" w:rsidRPr="0006063C" w:rsidSect="00034616">
      <w:pgSz w:w="15840" w:h="12240" w:orient="landscape"/>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hyperlink" Target="https://hawc.epa.gov/summary/assessment/100500318/tables/Ocular-Effects-Toxicology/" TargetMode="External"/><Relationship Id="rId10" Type="http://schemas.openxmlformats.org/officeDocument/2006/relationships/hyperlink" Target="https://hero.epa.gov/hero/index.cfm/reference/details/reference_id/3445945" TargetMode="External"/><Relationship Id="rId11" Type="http://schemas.openxmlformats.org/officeDocument/2006/relationships/hyperlink" Target="https://hero.epa.gov/hero/index.cfm/reference/details/reference_id/49860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