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Musculoskeletal Effects (Toxicology)</w:t>
      </w:r>
    </w:p>
    <w:p>
      <w:pPr/>
      <w:r/>
      <w:hyperlink r:id="rId9">
        <w:r>
          <w:rPr>
            <w:color w:val="000000" w:themeColor="hyperlink"/>
            <w:u w:val="single"/>
          </w:rPr>
          <w:t>View Online</w:t>
        </w:r>
      </w:hyperlink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49"/>
        <w:gridCol w:w="1749"/>
        <w:gridCol w:w="1749"/>
        <w:gridCol w:w="1749"/>
        <w:gridCol w:w="1749"/>
        <w:gridCol w:w="1749"/>
        <w:gridCol w:w="1749"/>
      </w:tblGrid>
      <w:tr>
        <w:tc>
          <w:tcPr>
            <w:tcW w:type="dxa" w:w="14400"/>
          </w:tcPr>
          <w:p>
            <w:pPr/>
            <w:r>
              <w:t>Reference</w:t>
            </w:r>
          </w:p>
        </w:tc>
        <w:tc>
          <w:tcPr>
            <w:tcW w:type="dxa" w:w="14400"/>
          </w:tcPr>
          <w:p>
            <w:pPr/>
            <w:r>
              <w:t>Species</w:t>
            </w:r>
          </w:p>
        </w:tc>
        <w:tc>
          <w:tcPr>
            <w:tcW w:type="dxa" w:w="14400"/>
          </w:tcPr>
          <w:p>
            <w:pPr/>
            <w:r>
              <w:t>Timing Exposure</w:t>
            </w:r>
          </w:p>
        </w:tc>
        <w:tc>
          <w:tcPr>
            <w:tcW w:type="dxa" w:w="14400"/>
          </w:tcPr>
          <w:p>
            <w:pPr/>
            <w:r>
              <w:t>Exposure Details</w:t>
            </w:r>
          </w:p>
        </w:tc>
        <w:tc>
          <w:tcPr>
            <w:tcW w:type="dxa" w:w="14400"/>
          </w:tcPr>
          <w:p>
            <w:pPr/>
            <w:r>
              <w:t>Blood Lead Level</w:t>
            </w:r>
          </w:p>
        </w:tc>
        <w:tc>
          <w:tcPr>
            <w:tcW w:type="dxa" w:w="14400"/>
          </w:tcPr>
          <w:p>
            <w:pPr/>
            <w:r>
              <w:t>Endpoints</w:t>
            </w:r>
          </w:p>
        </w:tc>
        <w:tc>
          <w:tcPr>
            <w:tcW w:type="dxa" w:w="14400"/>
          </w:tcPr>
          <w:p>
            <w:pPr/>
            <w:r>
              <w:t>Health Outcome Category</w:t>
            </w:r>
          </w:p>
        </w:tc>
      </w:tr>
      <w:tr>
        <w:tc>
          <w:tcPr>
            <w:tcW w:type="dxa" w:w="14400"/>
          </w:tcPr>
          <w:p>
            <w:pPr/>
            <w:r/>
            <w:hyperlink r:id="rId10">
              <w:r>
                <w:rPr>
                  <w:color w:val="000000" w:themeColor="hyperlink"/>
                  <w:u w:val="single"/>
                </w:rPr>
                <w:t>Beier, 2017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(C57BL.6), 0 ppm Pb, M/F, n = NR 100 ppm Pb, M/F, n = NR</w:t>
            </w:r>
          </w:p>
        </w:tc>
        <w:tc>
          <w:tcPr>
            <w:tcW w:type="dxa" w:w="14400"/>
          </w:tcPr>
          <w:p>
            <w:pPr/>
            <w:r>
              <w:t>PND 240</w:t>
            </w:r>
          </w:p>
        </w:tc>
        <w:tc>
          <w:tcPr>
            <w:tcW w:type="dxa" w:w="14400"/>
          </w:tcPr>
          <w:p>
            <w:pPr/>
            <w:r>
              <w:t>Oral, drinking water</w:t>
            </w:r>
          </w:p>
        </w:tc>
        <w:tc>
          <w:tcPr>
            <w:tcW w:type="dxa" w:w="14400"/>
          </w:tcPr>
          <w:p>
            <w:pPr/>
            <w:r>
              <w:t>0.17 ± 0.19 ng/dL for 0 ppm, 58.67 ± 4.61 ng/dL for 100 ppm -PND 240</w:t>
            </w:r>
          </w:p>
        </w:tc>
        <w:tc>
          <w:tcPr>
            <w:tcW w:type="dxa" w:w="14400"/>
          </w:tcPr>
          <w:p>
            <w:pPr/>
            <w:r>
              <w:t>Serum Protein Levels of Dickkopf-1, Serum Protein Levels of Sclerostin (scl), Serum Protein Levels of C-terminal telopeptide (CTx-1), Serum Protein Levels of type 1 procollagen (P1NP), Energy to Femur Failure (Males, 8 moo), Femur Yield Load / Maximum Load (Males, 8 moo), Maximum Femur Stiffness (Males, 8 moo), Osteoclast Surface/Bone Surface (Oc.S/BS) by Micro-Computed Tomography (microCT), Osteoclast Number/Trabecular Area (N.Oc/Tb.Ar) by Micro-Computed Tomography (microCT), Osteoblast Number/Trabecular Area (N.Ob/Tb.Ar) by Micro-Computed Tomography (microCT), Adipocyte size (Ad Size) by Micro-Computed Tomography (microCT), Adipocyte Volume/Total Volume (AV/TV) by Micro-Computed Tomography (microCT), Bone Volume to Total Volume (BV/TV) by Micro-Computed Tomography (microCT)</w:t>
            </w:r>
          </w:p>
        </w:tc>
        <w:tc>
          <w:tcPr>
            <w:tcW w:type="dxa" w:w="14400"/>
          </w:tcPr>
          <w:p>
            <w:pPr/>
            <w:r>
              <w:t>Musculoskeletal Effects</w:t>
            </w:r>
          </w:p>
        </w:tc>
      </w:tr>
      <w:tr>
        <w:tc>
          <w:tcPr>
            <w:tcW w:type="dxa" w:w="14400"/>
          </w:tcPr>
          <w:p>
            <w:pPr/>
            <w:r/>
            <w:hyperlink r:id="rId11">
              <w:r>
                <w:rPr>
                  <w:color w:val="000000" w:themeColor="hyperlink"/>
                  <w:u w:val="single"/>
                </w:rPr>
                <w:t>Beier, 2016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(C57BL.6), 0 ppm Pb, F, 200 ppm Pb, F, 500 ppm Pb,/F</w:t>
            </w:r>
          </w:p>
        </w:tc>
        <w:tc>
          <w:tcPr>
            <w:tcW w:type="dxa" w:w="14400"/>
          </w:tcPr>
          <w:p>
            <w:pPr/>
            <w:r>
              <w:t>PND 30, 90, 180, 360</w:t>
            </w:r>
          </w:p>
        </w:tc>
        <w:tc>
          <w:tcPr>
            <w:tcW w:type="dxa" w:w="14400"/>
          </w:tcPr>
          <w:p>
            <w:pPr/>
            <w:r>
              <w:t>Oral, drinking water</w:t>
            </w:r>
          </w:p>
        </w:tc>
        <w:tc>
          <w:tcPr>
            <w:tcW w:type="dxa" w:w="14400"/>
          </w:tcPr>
          <w:p>
            <w:pPr/>
            <w:r>
              <w:t>0 ng/mL for 0 ppm, 50 ng/mL for 100 ppm, 100 ng/mL for 300 ppm - PND 28</w:t>
            </w:r>
          </w:p>
        </w:tc>
        <w:tc>
          <w:tcPr>
            <w:tcW w:type="dxa" w:w="14400"/>
          </w:tcPr>
          <w:p>
            <w:pPr/>
            <w:r>
              <w:t>Femur Length, Areal Bone Mineral Density (aBMD), Bone Mass, Bone Weight, Body Fat, Femur Diameter, P1NP (ng/mL), TRAP5b (U/L), CTx (ng/mL), Calcitonin (pg/mL), 17 beta-estradiol (ng/mL), Dkk-1 (ng/mL), Femoral BV/TV, Tb.N, Tb.Sp, Conn.D, SMI, Cort Th, Cort BA, Tb Extension, Bone Strength, Beta-Catenin Protein Levels, TNF-Alpha Protein Levels, NF-κB Protein Levels, b-catenin RT-PCR, Peroxisome Proliferator-Activated Receptor-c RT-PCR, CD47 RT-PCR, Nuclear Factor Of Activated T Cells RT-PCR, CTSK  RT-PCR</w:t>
            </w:r>
          </w:p>
        </w:tc>
        <w:tc>
          <w:tcPr>
            <w:tcW w:type="dxa" w:w="14400"/>
          </w:tcPr>
          <w:p>
            <w:pPr/>
            <w:r>
              <w:t>Musculoskeletal Effects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wc.epa.gov/summary/assessment/100500318/tables/Musculoskeletal-Effects-Toxicology/" TargetMode="External"/><Relationship Id="rId10" Type="http://schemas.openxmlformats.org/officeDocument/2006/relationships/hyperlink" Target="https://hero.epa.gov/hero/index.cfm/reference/details/reference_id/6727056" TargetMode="External"/><Relationship Id="rId11" Type="http://schemas.openxmlformats.org/officeDocument/2006/relationships/hyperlink" Target="https://hero.epa.gov/hero/index.cfm/reference/details/reference_id/6735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