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Evidence profile table for epidemiological evidence on diseases of the circulatory system</w:t>
      </w:r>
    </w:p>
    <w:p>
      <w:pPr/>
      <w:r/>
      <w:hyperlink r:id="rId9">
        <w:r>
          <w:rPr>
            <w:color w:val="000000" w:themeColor="hyperlink"/>
            <w:u w:val="single"/>
          </w:rPr>
          <w:t>View Online</w:t>
        </w:r>
      </w:hyperlink>
      <w:r/>
    </w:p>
    <w:tbl>
      <w:tblPr>
        <w:tblStyle w:val="TableGrid"/>
        <w:tblW w:type="auto" w:w="0"/>
        <w:tblLook w:firstColumn="1" w:firstRow="1" w:lastColumn="0" w:lastRow="0" w:noHBand="0" w:noVBand="1" w:val="04A0"/>
      </w:tblPr>
      <w:tblGrid>
        <w:gridCol w:w="2448"/>
        <w:gridCol w:w="2448"/>
        <w:gridCol w:w="2448"/>
        <w:gridCol w:w="2448"/>
        <w:gridCol w:w="2448"/>
      </w:tblGrid>
      <w:tr>
        <w:tc>
          <w:tcPr>
            <w:tcW w:type="dxa" w:w="12240"/>
            <w:gridSpan w:val="5"/>
          </w:tcPr>
          <w:p>
            <w:pPr>
              <w:pStyle w:val="Heading2"/>
            </w:pPr>
            <w:r>
              <w:t>Evidence Synthesis (Strength of Evidence) Judgments</w:t>
            </w:r>
          </w:p>
        </w:tc>
      </w:tr>
      <w:tr>
        <w:tc>
          <w:tcPr>
            <w:tcW w:type="dxa" w:w="2448"/>
          </w:tcPr>
          <w:p>
            <w:pPr/>
            <w:r/>
            <w:r>
              <w:rPr>
                <w:b/>
              </w:rPr>
              <w:t>Studies</w:t>
            </w:r>
            <w:r/>
          </w:p>
        </w:tc>
        <w:tc>
          <w:tcPr>
            <w:tcW w:type="dxa" w:w="2448"/>
          </w:tcPr>
          <w:p>
            <w:pPr/>
            <w:r/>
            <w:r>
              <w:rPr>
                <w:b/>
              </w:rPr>
              <w:t>Summary of key findings</w:t>
            </w:r>
            <w:r/>
          </w:p>
        </w:tc>
        <w:tc>
          <w:tcPr>
            <w:tcW w:type="dxa" w:w="2448"/>
          </w:tcPr>
          <w:p>
            <w:pPr/>
            <w:r/>
            <w:r>
              <w:rPr>
                <w:b/>
              </w:rPr>
              <w:t>Factors that increase certainty</w:t>
            </w:r>
            <w:r/>
          </w:p>
        </w:tc>
        <w:tc>
          <w:tcPr>
            <w:tcW w:type="dxa" w:w="2448"/>
          </w:tcPr>
          <w:p>
            <w:pPr/>
            <w:r/>
            <w:r>
              <w:rPr>
                <w:b/>
              </w:rPr>
              <w:t>Factors that decrease certainty</w:t>
            </w:r>
            <w:r/>
          </w:p>
        </w:tc>
        <w:tc>
          <w:tcPr>
            <w:tcW w:type="dxa" w:w="2448"/>
          </w:tcPr>
          <w:p>
            <w:pPr/>
            <w:r/>
            <w:r>
              <w:rPr>
                <w:b/>
              </w:rPr>
              <w:t>Evidence Synthesis Judgment(s)</w:t>
            </w:r>
            <w:r/>
          </w:p>
        </w:tc>
      </w:tr>
      <w:tr>
        <w:tc>
          <w:tcPr>
            <w:tcW w:type="dxa" w:w="12240"/>
            <w:gridSpan w:val="5"/>
          </w:tcPr>
          <w:p>
            <w:pPr>
              <w:pStyle w:val="Heading2"/>
            </w:pPr>
            <w:r>
              <w:t>Evidence from studies of exposed humans</w:t>
            </w:r>
          </w:p>
        </w:tc>
      </w:tr>
      <w:tr>
        <w:tc>
          <w:tcPr>
            <w:tcW w:type="dxa" w:w="2448"/>
          </w:tcPr>
          <w:p>
            <w:pPr/>
            <w:r/>
            <w:r>
              <w:rPr>
                <w:b/>
              </w:rPr>
              <w:t>Cardiovascular/Ischemic heart disease incidence and mortality</w:t>
            </w:r>
            <w:r/>
          </w:p>
          <w:p>
            <w:pPr/>
            <w:r>
              <w:t xml:space="preserve"> </w:t>
            </w:r>
          </w:p>
          <w:p>
            <w:pPr/>
            <w:r/>
          </w:p>
          <w:p>
            <w:pPr/>
            <w:r>
              <w:t xml:space="preserve">27 </w:t>
            </w:r>
            <w:r>
              <w:rPr>
                <w:i/>
              </w:rPr>
              <w:t>medium</w:t>
            </w:r>
            <w:r>
              <w:t xml:space="preserve"> or </w:t>
            </w:r>
            <w:r>
              <w:rPr>
                <w:i/>
              </w:rPr>
              <w:t>high</w:t>
            </w:r>
            <w:r>
              <w:t xml:space="preserve"> confidence studies (21 case-control/cohort; 3 cross-sectional; 3 ecological)</w:t>
            </w:r>
          </w:p>
        </w:tc>
        <w:tc>
          <w:tcPr>
            <w:tcW w:type="dxa" w:w="2448"/>
          </w:tcPr>
          <w:p>
            <w:pPr/>
            <w:r>
              <w:t>Large, prospective cohort studies support exposure-dependent associations of relatively low exposures to iAs in drinking water (&lt;100 µg/L).</w:t>
            </w:r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All or most studies are medium or high confidence</w:t>
            </w:r>
            <w:r/>
          </w:p>
          <w:p>
            <w:pPr>
              <w:pStyle w:val="ListBullet"/>
            </w:pPr>
            <w:r/>
            <w:r>
              <w:rPr>
                <w:i/>
              </w:rPr>
              <w:t>Consistency</w:t>
            </w:r>
            <w:r>
              <w:t xml:space="preserve"> - across study types, including cross-sectional, and ecological “natural experiments;” across populations including U.S., Bangladesh, China, Taiwan, and Mexico.</w:t>
            </w:r>
          </w:p>
          <w:p>
            <w:pPr>
              <w:pStyle w:val="ListBullet"/>
            </w:pPr>
            <w:r/>
            <w:r>
              <w:rPr>
                <w:i/>
              </w:rPr>
              <w:t>Dose-response gradient</w:t>
            </w:r>
            <w:r>
              <w:t xml:space="preserve"> - observed in many studies.</w:t>
            </w:r>
          </w:p>
          <w:p>
            <w:pPr>
              <w:pStyle w:val="ListBullet"/>
            </w:pPr>
            <w:r/>
            <w:r>
              <w:rPr>
                <w:i/>
              </w:rPr>
              <w:t>Large or concerning magnitude of effect</w:t>
            </w:r>
            <w:r>
              <w:t xml:space="preserve"> - large odds ratios in some studies.</w:t>
            </w:r>
          </w:p>
          <w:p>
            <w:pPr>
              <w:pStyle w:val="ListBullet"/>
            </w:pPr>
            <w:r/>
            <w:r>
              <w:rPr>
                <w:i/>
              </w:rPr>
              <w:t>Coherence</w:t>
            </w:r>
            <w:r>
              <w:t xml:space="preserve"> - with findings for related endpoints/CHD risk factors such as hypertension, atherosclerosis.</w:t>
            </w:r>
          </w:p>
          <w:p>
            <w:pPr/>
            <w:r/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No factors noted</w:t>
            </w:r>
            <w:r/>
          </w:p>
          <w:p>
            <w:pPr/>
            <w:r/>
          </w:p>
        </w:tc>
        <w:tc>
          <w:tcPr>
            <w:tcW w:type="dxa" w:w="2448"/>
          </w:tcPr>
          <w:p>
            <w:pPr>
              <w:jc w:val="center"/>
            </w:pPr>
            <w:r>
              <w:t>⊕⊕⊕</w:t>
            </w:r>
          </w:p>
          <w:p>
            <w:pPr>
              <w:jc w:val="center"/>
            </w:pPr>
            <w:r/>
            <w:r>
              <w:rPr>
                <w:i/>
              </w:rPr>
              <w:t>Robust</w:t>
            </w:r>
            <w:r/>
          </w:p>
          <w:p>
            <w:pPr/>
            <w:r>
              <w:t xml:space="preserve">Based on consistent evidence with individual-level exposure data including studies with exposure gradients spanning relatively low (&lt;100 ug/L) concentrations of iAs in drinking water, and associations with related CVD endpoints such as atherosclerosis and hypertension. </w:t>
            </w:r>
          </w:p>
        </w:tc>
      </w:tr>
      <w:tr>
        <w:tc>
          <w:tcPr>
            <w:tcW w:type="dxa" w:w="2448"/>
          </w:tcPr>
          <w:p>
            <w:pPr/>
            <w:r/>
            <w:r>
              <w:rPr>
                <w:b/>
              </w:rPr>
              <w:t>Hypertension</w:t>
            </w:r>
            <w:r/>
          </w:p>
          <w:p>
            <w:pPr/>
            <w:r/>
          </w:p>
          <w:p>
            <w:pPr/>
            <w:r>
              <w:t xml:space="preserve">31 </w:t>
            </w:r>
            <w:r>
              <w:rPr>
                <w:i/>
              </w:rPr>
              <w:t>medium</w:t>
            </w:r>
            <w:r>
              <w:t xml:space="preserve"> or </w:t>
            </w:r>
            <w:r>
              <w:rPr>
                <w:i/>
              </w:rPr>
              <w:t>high</w:t>
            </w:r>
            <w:r>
              <w:t xml:space="preserve"> confidence studies (12 case-control/cohort; 19 cross-sectional)</w:t>
            </w:r>
          </w:p>
        </w:tc>
        <w:tc>
          <w:tcPr>
            <w:tcW w:type="dxa" w:w="2448"/>
          </w:tcPr>
          <w:p>
            <w:pPr/>
            <w:r>
              <w:t>Some, but not all, well-designed cohort studies report positive associations. Results are sensitive to the choice of exposure metric.</w:t>
            </w:r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All or most studies are medium or high confidence</w:t>
            </w:r>
            <w:r/>
          </w:p>
          <w:p>
            <w:pPr>
              <w:pStyle w:val="ListBullet"/>
            </w:pPr>
            <w:r/>
            <w:r>
              <w:rPr>
                <w:i/>
              </w:rPr>
              <w:t>Consistency</w:t>
            </w:r>
            <w:r>
              <w:t xml:space="preserve"> - with</w:t>
            </w:r>
            <w:r>
              <w:rPr>
                <w:b/>
              </w:rPr>
              <w:t xml:space="preserve"> </w:t>
            </w:r>
            <w:r>
              <w:t>metrics indicating recent exposure to iAs (or cumulative exposure in currently exposed populations) are generally reported; across different life stages, including adults, pregnant women, and children.</w:t>
            </w:r>
          </w:p>
          <w:p>
            <w:pPr>
              <w:pStyle w:val="ListBullet"/>
            </w:pPr>
            <w:r/>
            <w:r>
              <w:rPr>
                <w:i/>
              </w:rPr>
              <w:t>Dose-response gradient</w:t>
            </w:r>
            <w:r>
              <w:t xml:space="preserve"> - observed in many studies.</w:t>
            </w:r>
          </w:p>
          <w:p>
            <w:pPr>
              <w:pStyle w:val="ListBullet"/>
            </w:pPr>
            <w:r/>
            <w:r>
              <w:rPr>
                <w:i/>
              </w:rPr>
              <w:t>Large or concerning magnitude of effect</w:t>
            </w:r>
            <w:r/>
          </w:p>
          <w:p>
            <w:pPr>
              <w:pStyle w:val="ListBullet"/>
            </w:pPr>
            <w:r/>
            <w:r>
              <w:rPr>
                <w:i/>
              </w:rPr>
              <w:t>Coherence</w:t>
            </w:r>
            <w:r>
              <w:t xml:space="preserve"> - across markers of hypertension as well as related endpoints such as QT prolongation.</w:t>
            </w:r>
          </w:p>
          <w:p>
            <w:pPr/>
            <w:r/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No factors noted</w:t>
            </w:r>
            <w:r/>
          </w:p>
          <w:p>
            <w:pPr/>
            <w:r/>
          </w:p>
        </w:tc>
        <w:tc>
          <w:tcPr>
            <w:tcW w:type="dxa" w:w="2448"/>
          </w:tcPr>
          <w:p>
            <w:pPr>
              <w:jc w:val="center"/>
            </w:pPr>
            <w:r>
              <w:t>⊕⊕⊕</w:t>
            </w:r>
          </w:p>
          <w:p>
            <w:pPr>
              <w:jc w:val="center"/>
            </w:pPr>
            <w:r/>
            <w:r>
              <w:rPr>
                <w:i/>
              </w:rPr>
              <w:t>Robust</w:t>
            </w:r>
            <w:r/>
          </w:p>
          <w:p>
            <w:pPr/>
            <w:r>
              <w:t>Based on consistent evidence between iAs and hypertension with exposure-dependent changes. Findings further supported by studies showing the effect of iAs exposure across related endpoints or risk factors.</w:t>
            </w:r>
          </w:p>
        </w:tc>
      </w:tr>
      <w:tr>
        <w:tc>
          <w:tcPr>
            <w:tcW w:type="dxa" w:w="2448"/>
          </w:tcPr>
          <w:p>
            <w:pPr/>
            <w:r/>
            <w:r>
              <w:rPr>
                <w:b/>
              </w:rPr>
              <w:t>Cerebrovascular disease and stroke</w:t>
            </w:r>
            <w:r/>
          </w:p>
          <w:p>
            <w:pPr/>
            <w:r/>
          </w:p>
          <w:p>
            <w:pPr/>
            <w:r>
              <w:t xml:space="preserve">11 </w:t>
            </w:r>
            <w:r>
              <w:rPr>
                <w:i/>
              </w:rPr>
              <w:t>medium</w:t>
            </w:r>
            <w:r>
              <w:t xml:space="preserve"> or </w:t>
            </w:r>
            <w:r>
              <w:rPr>
                <w:i/>
              </w:rPr>
              <w:t xml:space="preserve">high </w:t>
            </w:r>
            <w:r>
              <w:t>confidence studies (7 case-control/cohort; 3 cross-sectional; 1 ecological)</w:t>
            </w:r>
          </w:p>
        </w:tc>
        <w:tc>
          <w:tcPr>
            <w:tcW w:type="dxa" w:w="2448"/>
          </w:tcPr>
          <w:p>
            <w:pPr/>
            <w:r>
              <w:t>Some well-conducted studies report positive associations. However, imprecise or null associations were also observed across other studies of varying quality and design.</w:t>
            </w:r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All or most studies are medium or high confidence</w:t>
            </w:r>
            <w:r/>
          </w:p>
          <w:p>
            <w:pPr>
              <w:pStyle w:val="ListBullet"/>
            </w:pPr>
            <w:r/>
            <w:r>
              <w:rPr>
                <w:i/>
              </w:rPr>
              <w:t>Dose-response gradient</w:t>
            </w:r>
            <w:r>
              <w:t xml:space="preserve"> - observed, though more consistently observed in populations with higher (&gt;50 ug/L) concentrations of iAs in drinking water.</w:t>
            </w:r>
          </w:p>
          <w:p>
            <w:pPr/>
            <w:r/>
          </w:p>
        </w:tc>
        <w:tc>
          <w:tcPr>
            <w:tcW w:type="dxa" w:w="2448"/>
          </w:tcPr>
          <w:p>
            <w:pPr>
              <w:pStyle w:val="ListBullet"/>
            </w:pPr>
            <w:r/>
            <w:r>
              <w:rPr>
                <w:i/>
              </w:rPr>
              <w:t>Unexplained inconsistency</w:t>
            </w:r>
            <w:r>
              <w:t xml:space="preserve"> - across cross-sectional studies.</w:t>
            </w:r>
          </w:p>
          <w:p>
            <w:pPr/>
            <w:r/>
          </w:p>
        </w:tc>
        <w:tc>
          <w:tcPr>
            <w:tcW w:type="dxa" w:w="2448"/>
          </w:tcPr>
          <w:p>
            <w:pPr>
              <w:jc w:val="center"/>
            </w:pPr>
            <w:r>
              <w:t>⊕⊕⊙</w:t>
            </w:r>
          </w:p>
          <w:p>
            <w:pPr>
              <w:jc w:val="center"/>
            </w:pPr>
            <w:r/>
            <w:r>
              <w:rPr>
                <w:i/>
              </w:rPr>
              <w:t>Moderate</w:t>
            </w:r>
            <w:r/>
          </w:p>
          <w:p>
            <w:pPr/>
            <w:r>
              <w:t xml:space="preserve">Based on some evidence indicating iAs exposure is associated with stroke, although some findings are inconsistent. </w:t>
            </w:r>
          </w:p>
        </w:tc>
      </w:tr>
    </w:tbl>
    <w:sectPr w:rsidR="00FC693F" w:rsidRPr="0006063C" w:rsidSect="00034616">
      <w:pgSz w:w="15840" w:h="12240" w:orient="landscape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s://hawc.epa.gov/summary/assessment/100500243/tables/Diseases-of-the-circulatory-syste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