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Evidence profile table for epidemiological evidence on diabetes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12240"/>
            <w:gridSpan w:val="5"/>
          </w:tcPr>
          <w:p>
            <w:pPr>
              <w:pStyle w:val="Heading2"/>
            </w:pPr>
            <w:r>
              <w:t>Evidence Synthesis (Strength of Evidence) Judgments</w:t>
            </w:r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Studies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Summary of key findings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Factors that increase certainty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Factors that decrease certainty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Evidence Synthesis Judgment(s)</w:t>
            </w:r>
            <w:r/>
          </w:p>
        </w:tc>
      </w:tr>
      <w:tr>
        <w:tc>
          <w:tcPr>
            <w:tcW w:type="dxa" w:w="12240"/>
            <w:gridSpan w:val="5"/>
          </w:tcPr>
          <w:p>
            <w:pPr>
              <w:pStyle w:val="Heading2"/>
            </w:pPr>
            <w:r>
              <w:t>Evidence from studies of exposed humans</w:t>
            </w:r>
          </w:p>
        </w:tc>
      </w:tr>
      <w:tr>
        <w:tc>
          <w:tcPr>
            <w:tcW w:type="dxa" w:w="2448"/>
          </w:tcPr>
          <w:p>
            <w:pPr/>
            <w:r>
              <w:t xml:space="preserve">56 </w:t>
            </w:r>
            <w:r>
              <w:rPr>
                <w:i/>
              </w:rPr>
              <w:t xml:space="preserve">medium </w:t>
            </w:r>
            <w:r>
              <w:t xml:space="preserve">or </w:t>
            </w:r>
            <w:r>
              <w:rPr>
                <w:i/>
              </w:rPr>
              <w:t>high</w:t>
            </w:r>
            <w:r>
              <w:t xml:space="preserve"> confidence studies</w:t>
            </w:r>
          </w:p>
        </w:tc>
        <w:tc>
          <w:tcPr>
            <w:tcW w:type="dxa" w:w="2448"/>
          </w:tcPr>
          <w:p>
            <w:pPr/>
            <w:r>
              <w:t>Generally consistent, positive associations across diverse populations. Some evidence for exposure-dependent changes within and across studies with well-characterized exposures, long duration exposures with sufficient follow-up for latency.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>
              <w:pStyle w:val="ListBullet"/>
            </w:pPr>
            <w:r/>
            <w:r>
              <w:rPr>
                <w:i/>
              </w:rPr>
              <w:t>Consistency</w:t>
            </w:r>
            <w:r>
              <w:t xml:space="preserve"> - of strong positive associations in populations across 3 continents, primarily at &gt; 10 ug/kg-day.</w:t>
            </w:r>
          </w:p>
          <w:p>
            <w:pPr>
              <w:pStyle w:val="ListBullet"/>
            </w:pPr>
            <w:r/>
            <w:r>
              <w:rPr>
                <w:i/>
              </w:rPr>
              <w:t>Dose-response gradient</w:t>
            </w:r>
            <w:r>
              <w:t xml:space="preserve"> - observed across studies.</w:t>
            </w:r>
          </w:p>
          <w:p>
            <w:pPr>
              <w:pStyle w:val="ListBullet"/>
            </w:pPr>
            <w:r/>
            <w:r>
              <w:rPr>
                <w:i/>
              </w:rPr>
              <w:t>Large or concerning magnitude of effect</w:t>
            </w:r>
            <w:r>
              <w:t xml:space="preserve"> - Hazard ratios ~ 2 were observed.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No factors noted</w:t>
            </w:r>
            <w:r/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⊕⊕⊕</w:t>
            </w:r>
          </w:p>
          <w:p>
            <w:pPr>
              <w:jc w:val="center"/>
            </w:pPr>
            <w:r/>
            <w:r>
              <w:rPr>
                <w:i/>
              </w:rPr>
              <w:t>Robust</w:t>
            </w:r>
            <w:r/>
          </w:p>
          <w:p>
            <w:pPr/>
            <w:r>
              <w:t>Based on consistent, reliable evidence from cohort and case-control studies with coherence across diverse study designs.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243/tables/Diabe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