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Evidence profile table for epidemiological evidence on pregnancy outcomes</w:t>
      </w:r>
    </w:p>
    <w:p>
      <w:pPr/>
      <w:r/>
      <w:hyperlink r:id="rId9">
        <w:r>
          <w:rPr>
            <w:color w:val="000000" w:themeColor="hyperlink"/>
            <w:u w:val="single"/>
          </w:rPr>
          <w:t>View Online</w:t>
        </w:r>
      </w:hyperlink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  <w:gridCol w:w="2448"/>
      </w:tblGrid>
      <w:tr>
        <w:tc>
          <w:tcPr>
            <w:tcW w:type="dxa" w:w="12240"/>
            <w:gridSpan w:val="5"/>
          </w:tcPr>
          <w:p>
            <w:pPr>
              <w:pStyle w:val="Heading2"/>
            </w:pPr>
            <w:r>
              <w:t>Evidence Synthesis (Strength of Evidence) Judgments</w:t>
            </w:r>
          </w:p>
        </w:tc>
      </w:tr>
      <w:tr>
        <w:tc>
          <w:tcPr>
            <w:tcW w:type="dxa" w:w="2448"/>
          </w:tcPr>
          <w:p>
            <w:pPr/>
            <w:r/>
            <w:r>
              <w:rPr>
                <w:b/>
              </w:rPr>
              <w:t>Studies</w:t>
            </w:r>
            <w:r/>
          </w:p>
        </w:tc>
        <w:tc>
          <w:tcPr>
            <w:tcW w:type="dxa" w:w="2448"/>
          </w:tcPr>
          <w:p>
            <w:pPr/>
            <w:r/>
            <w:r>
              <w:rPr>
                <w:b/>
              </w:rPr>
              <w:t>Summary of key findings</w:t>
            </w:r>
            <w:r/>
          </w:p>
        </w:tc>
        <w:tc>
          <w:tcPr>
            <w:tcW w:type="dxa" w:w="2448"/>
          </w:tcPr>
          <w:p>
            <w:pPr/>
            <w:r/>
            <w:r>
              <w:rPr>
                <w:b/>
              </w:rPr>
              <w:t>Factors that increase certainty</w:t>
            </w:r>
            <w:r/>
          </w:p>
        </w:tc>
        <w:tc>
          <w:tcPr>
            <w:tcW w:type="dxa" w:w="2448"/>
          </w:tcPr>
          <w:p>
            <w:pPr/>
            <w:r/>
            <w:r>
              <w:rPr>
                <w:b/>
              </w:rPr>
              <w:t>Factors that decrease certainty</w:t>
            </w:r>
            <w:r/>
          </w:p>
        </w:tc>
        <w:tc>
          <w:tcPr>
            <w:tcW w:type="dxa" w:w="2448"/>
          </w:tcPr>
          <w:p>
            <w:pPr/>
            <w:r/>
            <w:r>
              <w:rPr>
                <w:b/>
              </w:rPr>
              <w:t>Evidence Synthesis Judgment(s)</w:t>
            </w:r>
            <w:r/>
          </w:p>
        </w:tc>
      </w:tr>
      <w:tr>
        <w:tc>
          <w:tcPr>
            <w:tcW w:type="dxa" w:w="12240"/>
            <w:gridSpan w:val="5"/>
          </w:tcPr>
          <w:p>
            <w:pPr>
              <w:pStyle w:val="Heading2"/>
            </w:pPr>
            <w:r>
              <w:t>Evidence from studies of exposed humans</w:t>
            </w:r>
          </w:p>
        </w:tc>
      </w:tr>
      <w:tr>
        <w:tc>
          <w:tcPr>
            <w:tcW w:type="dxa" w:w="2448"/>
          </w:tcPr>
          <w:p>
            <w:pPr/>
            <w:r/>
            <w:r>
              <w:rPr>
                <w:b/>
              </w:rPr>
              <w:t>Fetal &amp; Infant Mortality</w:t>
            </w:r>
            <w:r/>
          </w:p>
          <w:p>
            <w:pPr/>
            <w:r/>
          </w:p>
          <w:p>
            <w:pPr/>
            <w:r>
              <w:t xml:space="preserve">13 </w:t>
            </w:r>
            <w:r>
              <w:rPr>
                <w:i/>
              </w:rPr>
              <w:t xml:space="preserve">medium </w:t>
            </w:r>
            <w:r>
              <w:t xml:space="preserve">or </w:t>
            </w:r>
            <w:r>
              <w:rPr>
                <w:i/>
              </w:rPr>
              <w:t>high</w:t>
            </w:r>
            <w:r>
              <w:t xml:space="preserve"> confidence studies</w:t>
            </w:r>
          </w:p>
        </w:tc>
        <w:tc>
          <w:tcPr>
            <w:tcW w:type="dxa" w:w="2448"/>
          </w:tcPr>
          <w:p>
            <w:pPr/>
            <w:r>
              <w:t>The strongest evidence of positive associations comes from cohort and cross-sectional studies conducted in Bangladesh and India, where iAs levels in drinking-water wells commonly exceed 200 µg/L. Some studies also provide evidence at lower levels of exposure (e.g., &lt;100 µg/L)</w:t>
            </w:r>
          </w:p>
        </w:tc>
        <w:tc>
          <w:tcPr>
            <w:tcW w:type="dxa" w:w="2448"/>
          </w:tcPr>
          <w:p>
            <w:pPr>
              <w:pStyle w:val="ListBullet"/>
            </w:pPr>
            <w:r/>
            <w:r>
              <w:rPr>
                <w:i/>
              </w:rPr>
              <w:t>All or most studies are medium or high confidence</w:t>
            </w:r>
            <w:r/>
          </w:p>
          <w:p>
            <w:pPr>
              <w:pStyle w:val="ListBullet"/>
            </w:pPr>
            <w:r/>
            <w:r>
              <w:rPr>
                <w:i/>
              </w:rPr>
              <w:t>Consistency</w:t>
            </w:r>
            <w:r>
              <w:t xml:space="preserve"> - across geographic regions and study types</w:t>
            </w:r>
          </w:p>
          <w:p>
            <w:pPr>
              <w:pStyle w:val="ListBullet"/>
            </w:pPr>
            <w:r/>
            <w:r>
              <w:rPr>
                <w:i/>
              </w:rPr>
              <w:t>Dose-response gradient</w:t>
            </w:r>
            <w:r>
              <w:t xml:space="preserve"> - in many but not all studies</w:t>
            </w:r>
          </w:p>
          <w:p>
            <w:pPr/>
            <w:r/>
          </w:p>
        </w:tc>
        <w:tc>
          <w:tcPr>
            <w:tcW w:type="dxa" w:w="2448"/>
          </w:tcPr>
          <w:p>
            <w:pPr>
              <w:pStyle w:val="ListBullet"/>
            </w:pPr>
            <w:r/>
            <w:r>
              <w:rPr>
                <w:i/>
              </w:rPr>
              <w:t>No factors noted</w:t>
            </w:r>
            <w:r/>
          </w:p>
          <w:p>
            <w:pPr/>
            <w:r/>
          </w:p>
        </w:tc>
        <w:tc>
          <w:tcPr>
            <w:tcW w:type="dxa" w:w="2448"/>
          </w:tcPr>
          <w:p>
            <w:pPr>
              <w:jc w:val="center"/>
            </w:pPr>
            <w:r>
              <w:t>⊕⊕⊙</w:t>
            </w:r>
          </w:p>
          <w:p>
            <w:pPr>
              <w:jc w:val="center"/>
            </w:pPr>
            <w:r/>
            <w:r>
              <w:rPr>
                <w:i/>
              </w:rPr>
              <w:t>Moderate</w:t>
            </w:r>
            <w:r/>
          </w:p>
          <w:p>
            <w:pPr/>
            <w:r/>
          </w:p>
        </w:tc>
      </w:tr>
      <w:tr>
        <w:tc>
          <w:tcPr>
            <w:tcW w:type="dxa" w:w="2448"/>
          </w:tcPr>
          <w:p>
            <w:pPr/>
            <w:r/>
            <w:r>
              <w:rPr>
                <w:b/>
              </w:rPr>
              <w:t>Birth Weight</w:t>
            </w:r>
            <w:r/>
          </w:p>
          <w:p>
            <w:pPr/>
            <w:r/>
          </w:p>
          <w:p>
            <w:pPr/>
            <w:r>
              <w:t xml:space="preserve">36 </w:t>
            </w:r>
            <w:r>
              <w:rPr>
                <w:i/>
              </w:rPr>
              <w:t>medium</w:t>
            </w:r>
            <w:r>
              <w:t xml:space="preserve"> or </w:t>
            </w:r>
            <w:r>
              <w:rPr>
                <w:i/>
              </w:rPr>
              <w:t xml:space="preserve">high </w:t>
            </w:r>
            <w:r>
              <w:t>confidence studies</w:t>
            </w:r>
          </w:p>
        </w:tc>
        <w:tc>
          <w:tcPr>
            <w:tcW w:type="dxa" w:w="2448"/>
          </w:tcPr>
          <w:p>
            <w:pPr/>
            <w:r>
              <w:t>Studies across diverse geographic regions utilizing a variety of exposure assessment methods provide generally consistent results indicating statistically significant and nonsignificant inverse associations between iAs and birth weight.</w:t>
            </w:r>
          </w:p>
        </w:tc>
        <w:tc>
          <w:tcPr>
            <w:tcW w:type="dxa" w:w="2448"/>
          </w:tcPr>
          <w:p>
            <w:pPr>
              <w:pStyle w:val="ListBullet"/>
            </w:pPr>
            <w:r/>
            <w:r>
              <w:rPr>
                <w:i/>
              </w:rPr>
              <w:t>All or most studies are medium or high confidence</w:t>
            </w:r>
            <w:r/>
          </w:p>
          <w:p>
            <w:pPr>
              <w:pStyle w:val="ListBullet"/>
            </w:pPr>
            <w:r/>
            <w:r>
              <w:rPr>
                <w:i/>
              </w:rPr>
              <w:t>Consistency</w:t>
            </w:r>
            <w:r>
              <w:t xml:space="preserve"> - across geographic regions and study types</w:t>
            </w:r>
          </w:p>
          <w:p>
            <w:pPr>
              <w:pStyle w:val="ListBullet"/>
            </w:pPr>
            <w:r/>
            <w:r>
              <w:rPr>
                <w:i/>
              </w:rPr>
              <w:t>Coherence</w:t>
            </w:r>
            <w:r>
              <w:t xml:space="preserve"> - with fetal and postnatal growth evidence</w:t>
            </w:r>
          </w:p>
          <w:p>
            <w:pPr/>
            <w:r/>
          </w:p>
        </w:tc>
        <w:tc>
          <w:tcPr>
            <w:tcW w:type="dxa" w:w="2448"/>
          </w:tcPr>
          <w:p>
            <w:pPr>
              <w:pStyle w:val="ListBullet"/>
            </w:pPr>
            <w:r/>
            <w:r>
              <w:rPr>
                <w:i/>
              </w:rPr>
              <w:t>No factors noted</w:t>
            </w:r>
            <w:r/>
          </w:p>
          <w:p>
            <w:pPr/>
            <w:r/>
          </w:p>
        </w:tc>
        <w:tc>
          <w:tcPr>
            <w:tcW w:type="dxa" w:w="2448"/>
          </w:tcPr>
          <w:p>
            <w:pPr>
              <w:jc w:val="center"/>
            </w:pPr>
            <w:r>
              <w:t>⊕⊕⊙</w:t>
            </w:r>
          </w:p>
          <w:p>
            <w:pPr>
              <w:jc w:val="center"/>
            </w:pPr>
            <w:r/>
            <w:r>
              <w:rPr>
                <w:i/>
              </w:rPr>
              <w:t>Moderate</w:t>
            </w:r>
            <w:r/>
          </w:p>
          <w:p>
            <w:pPr/>
            <w:r/>
          </w:p>
        </w:tc>
      </w:tr>
      <w:tr>
        <w:tc>
          <w:tcPr>
            <w:tcW w:type="dxa" w:w="2448"/>
          </w:tcPr>
          <w:p>
            <w:pPr/>
            <w:r/>
            <w:r>
              <w:rPr>
                <w:b/>
              </w:rPr>
              <w:t>Fetal Growth</w:t>
            </w:r>
            <w:r/>
          </w:p>
          <w:p>
            <w:pPr/>
            <w:r/>
          </w:p>
          <w:p>
            <w:pPr/>
            <w:r>
              <w:t xml:space="preserve">24 </w:t>
            </w:r>
            <w:r>
              <w:rPr>
                <w:i/>
              </w:rPr>
              <w:t xml:space="preserve">medium </w:t>
            </w:r>
            <w:r>
              <w:t>or</w:t>
            </w:r>
            <w:r>
              <w:rPr>
                <w:i/>
              </w:rPr>
              <w:t xml:space="preserve"> high </w:t>
            </w:r>
            <w:r>
              <w:t>confidence studies</w:t>
            </w:r>
          </w:p>
        </w:tc>
        <w:tc>
          <w:tcPr>
            <w:tcW w:type="dxa" w:w="2448"/>
          </w:tcPr>
          <w:p>
            <w:pPr/>
            <w:r>
              <w:t>Studies covering overlapping arsenic exposure levels provide conflicting results. However, some of the strongest evidence is based on studies at the highest exposure levels.</w:t>
            </w:r>
          </w:p>
        </w:tc>
        <w:tc>
          <w:tcPr>
            <w:tcW w:type="dxa" w:w="2448"/>
          </w:tcPr>
          <w:p>
            <w:pPr>
              <w:pStyle w:val="ListBullet"/>
            </w:pPr>
            <w:r/>
            <w:r>
              <w:rPr>
                <w:i/>
              </w:rPr>
              <w:t>All or most studies are medium or high confidence</w:t>
            </w:r>
            <w:r/>
          </w:p>
          <w:p>
            <w:pPr>
              <w:pStyle w:val="ListBullet"/>
            </w:pPr>
            <w:r/>
            <w:r>
              <w:rPr>
                <w:i/>
              </w:rPr>
              <w:t>Dose-response gradient</w:t>
            </w:r>
            <w:r>
              <w:t xml:space="preserve"> - with strongest evidence at higher exposure levels</w:t>
            </w:r>
          </w:p>
          <w:p>
            <w:pPr>
              <w:pStyle w:val="ListBullet"/>
            </w:pPr>
            <w:r/>
            <w:r>
              <w:rPr>
                <w:i/>
              </w:rPr>
              <w:t>Coherence</w:t>
            </w:r>
            <w:r>
              <w:t xml:space="preserve"> - with birth weight and postnatal growth evidence</w:t>
            </w:r>
          </w:p>
          <w:p>
            <w:pPr/>
            <w:r/>
          </w:p>
        </w:tc>
        <w:tc>
          <w:tcPr>
            <w:tcW w:type="dxa" w:w="2448"/>
          </w:tcPr>
          <w:p>
            <w:pPr>
              <w:pStyle w:val="ListBullet"/>
            </w:pPr>
            <w:r/>
            <w:r>
              <w:rPr>
                <w:i/>
              </w:rPr>
              <w:t>Unexplained inconsistency</w:t>
            </w:r>
            <w:r>
              <w:t xml:space="preserve"> - between studies with overlapping exposure levels</w:t>
            </w:r>
          </w:p>
          <w:p>
            <w:pPr/>
            <w:r/>
          </w:p>
        </w:tc>
        <w:tc>
          <w:tcPr>
            <w:tcW w:type="dxa" w:w="2448"/>
          </w:tcPr>
          <w:p>
            <w:pPr>
              <w:jc w:val="center"/>
            </w:pPr>
            <w:r>
              <w:t>⊕⊙⊙</w:t>
            </w:r>
          </w:p>
          <w:p>
            <w:pPr>
              <w:jc w:val="center"/>
            </w:pPr>
            <w:r/>
            <w:r>
              <w:rPr>
                <w:i/>
              </w:rPr>
              <w:t>Slight</w:t>
            </w:r>
            <w:r/>
          </w:p>
          <w:p>
            <w:pPr/>
            <w:r/>
          </w:p>
        </w:tc>
      </w:tr>
      <w:tr>
        <w:tc>
          <w:tcPr>
            <w:tcW w:type="dxa" w:w="2448"/>
          </w:tcPr>
          <w:p>
            <w:pPr/>
            <w:r/>
            <w:r>
              <w:rPr>
                <w:b/>
              </w:rPr>
              <w:t>Prematurity</w:t>
            </w:r>
            <w:r/>
          </w:p>
          <w:p>
            <w:pPr/>
            <w:r/>
          </w:p>
          <w:p>
            <w:pPr/>
            <w:r>
              <w:t xml:space="preserve">18 </w:t>
            </w:r>
            <w:r>
              <w:rPr>
                <w:i/>
              </w:rPr>
              <w:t>medium</w:t>
            </w:r>
            <w:r>
              <w:t xml:space="preserve"> or </w:t>
            </w:r>
            <w:r>
              <w:rPr>
                <w:i/>
              </w:rPr>
              <w:t>high</w:t>
            </w:r>
            <w:r>
              <w:t xml:space="preserve"> confidence studies</w:t>
            </w:r>
          </w:p>
        </w:tc>
        <w:tc>
          <w:tcPr>
            <w:tcW w:type="dxa" w:w="2448"/>
          </w:tcPr>
          <w:p>
            <w:pPr/>
            <w:r>
              <w:t xml:space="preserve">Most studies reported no association, but six studies repesenting both high and low exposure scenarios reported significant positive associations. </w:t>
            </w:r>
          </w:p>
        </w:tc>
        <w:tc>
          <w:tcPr>
            <w:tcW w:type="dxa" w:w="2448"/>
          </w:tcPr>
          <w:p>
            <w:pPr>
              <w:pStyle w:val="ListBullet"/>
            </w:pPr>
            <w:r/>
            <w:r>
              <w:rPr>
                <w:i/>
              </w:rPr>
              <w:t>All or most studies are medium or high confidence</w:t>
            </w:r>
            <w:r/>
          </w:p>
          <w:p>
            <w:pPr/>
            <w:r/>
          </w:p>
        </w:tc>
        <w:tc>
          <w:tcPr>
            <w:tcW w:type="dxa" w:w="2448"/>
          </w:tcPr>
          <w:p>
            <w:pPr>
              <w:pStyle w:val="ListBullet"/>
            </w:pPr>
            <w:r/>
            <w:r>
              <w:rPr>
                <w:i/>
              </w:rPr>
              <w:t>Unexplained inconsistency</w:t>
            </w:r>
            <w:r>
              <w:t xml:space="preserve"> - between studies with overlapping exposure levels</w:t>
            </w:r>
          </w:p>
          <w:p>
            <w:pPr/>
            <w:r/>
          </w:p>
        </w:tc>
        <w:tc>
          <w:tcPr>
            <w:tcW w:type="dxa" w:w="2448"/>
          </w:tcPr>
          <w:p>
            <w:pPr>
              <w:jc w:val="center"/>
            </w:pPr>
            <w:r>
              <w:t>⊕⊙⊙</w:t>
            </w:r>
          </w:p>
          <w:p>
            <w:pPr>
              <w:jc w:val="center"/>
            </w:pPr>
            <w:r/>
            <w:r>
              <w:rPr>
                <w:i/>
              </w:rPr>
              <w:t>Slight</w:t>
            </w:r>
            <w:r/>
          </w:p>
          <w:p>
            <w:pPr/>
            <w:r/>
          </w:p>
        </w:tc>
      </w:tr>
      <w:tr>
        <w:tc>
          <w:tcPr>
            <w:tcW w:type="dxa" w:w="2448"/>
          </w:tcPr>
          <w:p>
            <w:pPr/>
            <w:r/>
            <w:r>
              <w:rPr>
                <w:b/>
              </w:rPr>
              <w:t>Postnatal Growth</w:t>
            </w:r>
            <w:r/>
          </w:p>
          <w:p>
            <w:pPr/>
            <w:r/>
          </w:p>
          <w:p>
            <w:pPr/>
            <w:r>
              <w:t xml:space="preserve">6 </w:t>
            </w:r>
            <w:r>
              <w:rPr>
                <w:i/>
              </w:rPr>
              <w:t>medium</w:t>
            </w:r>
            <w:r>
              <w:t xml:space="preserve"> or </w:t>
            </w:r>
            <w:r>
              <w:rPr>
                <w:i/>
              </w:rPr>
              <w:t>high</w:t>
            </w:r>
            <w:r>
              <w:t xml:space="preserve"> confidence studies</w:t>
            </w:r>
          </w:p>
        </w:tc>
        <w:tc>
          <w:tcPr>
            <w:tcW w:type="dxa" w:w="2448"/>
          </w:tcPr>
          <w:p>
            <w:pPr/>
            <w:r>
              <w:t>Two studies (one in Bangladesh, one in USA) document changes in postnatal growth in relation to prenatal exposure but four studies at overlapping exposure levels document no significant associations.</w:t>
            </w:r>
          </w:p>
        </w:tc>
        <w:tc>
          <w:tcPr>
            <w:tcW w:type="dxa" w:w="2448"/>
          </w:tcPr>
          <w:p>
            <w:pPr>
              <w:pStyle w:val="ListBullet"/>
            </w:pPr>
            <w:r/>
            <w:r>
              <w:rPr>
                <w:i/>
              </w:rPr>
              <w:t>All or most studies are medium or high confidence</w:t>
            </w:r>
            <w:r/>
          </w:p>
          <w:p>
            <w:pPr>
              <w:pStyle w:val="ListBullet"/>
            </w:pPr>
            <w:r/>
            <w:r>
              <w:rPr>
                <w:i/>
              </w:rPr>
              <w:t>Coherence</w:t>
            </w:r>
            <w:r>
              <w:t xml:space="preserve"> - with birth weight and fetal growth evidence</w:t>
            </w:r>
          </w:p>
          <w:p>
            <w:pPr/>
            <w:r/>
          </w:p>
        </w:tc>
        <w:tc>
          <w:tcPr>
            <w:tcW w:type="dxa" w:w="2448"/>
          </w:tcPr>
          <w:p>
            <w:pPr>
              <w:pStyle w:val="ListBullet"/>
            </w:pPr>
            <w:r/>
            <w:r>
              <w:rPr>
                <w:i/>
              </w:rPr>
              <w:t>Unexplained inconsistency</w:t>
            </w:r>
            <w:r>
              <w:t xml:space="preserve"> - between studies with overlapping exposure levels</w:t>
            </w:r>
          </w:p>
          <w:p>
            <w:pPr/>
            <w:r/>
          </w:p>
        </w:tc>
        <w:tc>
          <w:tcPr>
            <w:tcW w:type="dxa" w:w="2448"/>
          </w:tcPr>
          <w:p>
            <w:pPr>
              <w:jc w:val="center"/>
            </w:pPr>
            <w:r>
              <w:t>⊕⊙⊙</w:t>
            </w:r>
          </w:p>
          <w:p>
            <w:pPr>
              <w:jc w:val="center"/>
            </w:pPr>
            <w:r/>
            <w:r>
              <w:rPr>
                <w:i/>
              </w:rPr>
              <w:t>Slight</w:t>
            </w:r>
            <w:r/>
          </w:p>
          <w:p>
            <w:pPr/>
            <w:r/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hawc.epa.gov/summary/assessment/100500243/tables/Pregnancy-Outcom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